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C06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5B4E4" w14:textId="77777777" w:rsidR="00A50F2C" w:rsidRDefault="00A50F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10369"/>
        <w:gridCol w:w="220"/>
        <w:gridCol w:w="253"/>
      </w:tblGrid>
      <w:tr w:rsidR="00A50F2C" w14:paraId="38FC2A36" w14:textId="77777777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4C58" w14:textId="77777777" w:rsidR="00A50F2C" w:rsidRDefault="00B02977">
            <w:pPr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AAAD" w14:textId="77777777" w:rsidR="00A50F2C" w:rsidRDefault="00A50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A50F2C" w14:paraId="6E14724B" w14:textId="77777777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18A9F76" w14:textId="77777777" w:rsidR="00A50F2C" w:rsidRDefault="00B02977">
                  <w:pPr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14:paraId="21718DFA" w14:textId="77777777" w:rsidR="00A50F2C" w:rsidRDefault="00A50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60647F" w14:textId="77777777" w:rsidR="00A50F2C" w:rsidRDefault="00A50F2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2C" w14:paraId="19B27D24" w14:textId="77777777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3DCC" w14:textId="77777777" w:rsidR="00A50F2C" w:rsidRDefault="00B02977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8F54" w14:textId="77777777" w:rsidR="00A50F2C" w:rsidRDefault="00B02977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8669A6" w14:textId="77777777" w:rsidR="00A50F2C" w:rsidRDefault="00A50F2C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8FE0DE" w14:textId="77777777" w:rsidR="00A50F2C" w:rsidRDefault="00A50F2C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2C" w14:paraId="63CEBFE0" w14:textId="77777777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9568" w14:textId="77777777" w:rsidR="00A50F2C" w:rsidRDefault="00B02977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B3FC" w14:textId="77777777" w:rsidR="00A50F2C" w:rsidRDefault="00A50F2C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24B878" w14:textId="77777777" w:rsidR="00A50F2C" w:rsidRDefault="00A50F2C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C598FA" w14:textId="77777777" w:rsidR="00A50F2C" w:rsidRDefault="00A50F2C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8A904D" w14:textId="77777777" w:rsidR="00A50F2C" w:rsidRDefault="00B02977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- 2021 год</w:t>
            </w:r>
          </w:p>
        </w:tc>
      </w:tr>
    </w:tbl>
    <w:p w14:paraId="0DA3CF6B" w14:textId="77777777" w:rsidR="00A50F2C" w:rsidRDefault="00A50F2C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058E395" w14:textId="77777777" w:rsidR="00A50F2C" w:rsidRDefault="00B02977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A50F2C" w14:paraId="79B7739A" w14:textId="77777777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1FAF4F" w14:textId="77777777" w:rsidR="00A50F2C" w:rsidRDefault="00B02977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14:paraId="53953DEB" w14:textId="77777777" w:rsidR="00A50F2C" w:rsidRDefault="00B02977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14:paraId="1F754082" w14:textId="77777777" w:rsidR="00A50F2C" w:rsidRDefault="00A50F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706C" w14:textId="77777777" w:rsidR="00A50F2C" w:rsidRDefault="00B029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 wp14:anchorId="57A7244D" wp14:editId="42287D48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DE17" w14:textId="77777777" w:rsidR="00A50F2C" w:rsidRDefault="00A50F2C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DFC4" w14:textId="77777777" w:rsidR="00A50F2C" w:rsidRDefault="00A50F2C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19A7" w14:textId="77777777" w:rsidR="00A50F2C" w:rsidRDefault="00A50F2C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A50F2C" w14:paraId="2D899A50" w14:textId="77777777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2ADF08" w14:textId="77777777" w:rsidR="00A50F2C" w:rsidRDefault="00A50F2C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9BAF4B3" w14:textId="77777777" w:rsidR="00A50F2C" w:rsidRDefault="00A50F2C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044A32C0" w14:textId="77777777" w:rsidR="00A50F2C" w:rsidRDefault="00B02977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14:paraId="12F1A923" w14:textId="77777777" w:rsidR="00A50F2C" w:rsidRDefault="00A50F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4E6C" w14:textId="77777777" w:rsidR="00A50F2C" w:rsidRDefault="00A50F2C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DACA2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14:paraId="1D898FD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14:paraId="415FC688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14:paraId="12501551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14:paraId="254E89F6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нформации об организации социальной сферы»</w:t>
      </w:r>
    </w:p>
    <w:p w14:paraId="510F6B6C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правовыми актами Российской Федерации</w:t>
      </w:r>
    </w:p>
    <w:p w14:paraId="5798EBE5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14:paraId="209E8BFB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14:paraId="7D6CE336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14:paraId="55559650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14:paraId="4F74531A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14:paraId="3CA4F6B2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Тдист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количество баллов за каждый дистанционный способ взаимодействия с получателями услуг</w:t>
      </w:r>
    </w:p>
    <w:p w14:paraId="1F98D3DF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</w:t>
      </w:r>
    </w:p>
    <w:p w14:paraId="4504D73F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социальной сферы</w:t>
      </w:r>
    </w:p>
    <w:p w14:paraId="65C25F6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14:paraId="6CD3ED1A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пностью информации, размещенной на официальном сайте организации</w:t>
      </w:r>
    </w:p>
    <w:p w14:paraId="193BFF1A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14:paraId="2DB63747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оциальной сферы комфортных условий предоставления услуг</w:t>
      </w:r>
    </w:p>
    <w:p w14:paraId="4273666D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14:paraId="602D2FF3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14:paraId="40955AA3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доставления услуг организацией социальной сферы</w:t>
      </w:r>
    </w:p>
    <w:p w14:paraId="3CC3057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14:paraId="20B68A4B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14:paraId="15E418B8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ргдост - Оборудование помещений организации социальной сферы и прилегающей к ней территории с учетом доступности для инвалидов</w:t>
      </w:r>
    </w:p>
    <w:p w14:paraId="6A950A88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14:paraId="72C1EC61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ганизации для инвалидов</w:t>
      </w:r>
    </w:p>
    <w:p w14:paraId="14963170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14:paraId="60F35440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Туслугдост – количество баллов за каждое условие доступности, позволяющее инвалидам получать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наравне с другими</w:t>
      </w:r>
    </w:p>
    <w:p w14:paraId="71F40EC9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14:paraId="3AE838AB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14:paraId="79D2D780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14:paraId="28A25278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 - число получателей услуг-инвалидов, удовлетворенных доступностью услуг для инвалидов</w:t>
      </w:r>
    </w:p>
    <w:p w14:paraId="7642A0E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14:paraId="7524B468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14:paraId="1C29F3F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14:paraId="108214A5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феры, обеспечивающих непосредственное оказание услуги при обращении в организацию</w:t>
      </w:r>
    </w:p>
    <w:p w14:paraId="695EA859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14:paraId="6F6D5730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14:paraId="50B6CC1D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отников организации при использовании дистанционных форм взаимодействия</w:t>
      </w:r>
    </w:p>
    <w:p w14:paraId="0FC16229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14:paraId="08DF6869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ной сферы родственникам и знакомым (могли бы ее рекомендовать, если бы была возможность выбора организации социальной сферы)</w:t>
      </w:r>
    </w:p>
    <w:p w14:paraId="7DB52961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бы была возможность выбора организации)</w:t>
      </w:r>
    </w:p>
    <w:p w14:paraId="2A017902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14:paraId="158C047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14:paraId="3795032E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14:paraId="6AA7D865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 в целом условиями оказания услуг в организации социальной сферы</w:t>
      </w:r>
    </w:p>
    <w:p w14:paraId="44258EFB" w14:textId="77777777" w:rsidR="00A50F2C" w:rsidRDefault="00B029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6FEB096C" w14:textId="77777777" w:rsidR="00A50F2C" w:rsidRDefault="00B029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14:paraId="26D5771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A50F2C" w14:paraId="0D99E2BB" w14:textId="77777777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559F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14:paraId="639BCCAA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78074" w14:textId="77777777" w:rsidR="00A50F2C" w:rsidRDefault="00B02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актов, перечень которых представлен в техническом задании к договору (контракту), в рамках которой проводилась данная процедура.</w:t>
      </w:r>
    </w:p>
    <w:p w14:paraId="19D7D529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9327B" w14:textId="77777777" w:rsidR="00A50F2C" w:rsidRDefault="00B0297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- 2021 год.</w:t>
      </w:r>
    </w:p>
    <w:p w14:paraId="49B24F1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0AD86" w14:textId="77777777" w:rsidR="00A50F2C" w:rsidRDefault="00B0297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</w:t>
      </w:r>
      <w:r>
        <w:rPr>
          <w:rFonts w:ascii="Times New Roman" w:eastAsia="Times New Roman" w:hAnsi="Times New Roman" w:cs="Times New Roman"/>
          <w:sz w:val="24"/>
          <w:szCs w:val="24"/>
        </w:rPr>
        <w:t>зированной информации рассчитан Sn - итоговый показатель оценки качества организации.</w:t>
      </w:r>
    </w:p>
    <w:p w14:paraId="415DBFC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3F84F" w14:textId="77777777" w:rsidR="00A50F2C" w:rsidRDefault="00B02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14:paraId="7BA9CA8F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CC450" w14:textId="77777777" w:rsidR="00A50F2C" w:rsidRDefault="00B02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14:paraId="39940E59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A50F2C" w14:paraId="06B15385" w14:textId="77777777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74BA3" w14:textId="77777777" w:rsidR="00A50F2C" w:rsidRDefault="00B02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DAE3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50F2C" w14:paraId="79BF1561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DB92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4207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DA01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4453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A50F2C" w14:paraId="2D27DBD3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42D5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D1DD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E2E1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A637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0F2C" w14:paraId="0FF7C4CA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8FB9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8330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9B04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BE0B2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F2C" w14:paraId="5C0F7A88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52EB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EA25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788E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AD0F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F2C" w14:paraId="6472D3FB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C9556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9ED9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CA28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40BB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F2C" w14:paraId="2E5BF7C9" w14:textId="7777777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B363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C141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B284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4B335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3D937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0087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17FD8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672474E" w14:textId="77777777" w:rsidR="00A50F2C" w:rsidRDefault="00B0297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14:paraId="692639E6" w14:textId="77777777" w:rsidR="00A50F2C" w:rsidRDefault="00A50F2C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82017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14:paraId="53441601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D03BE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14:paraId="6C5598FD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B239D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14:paraId="33F201B2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7E453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</w:t>
      </w:r>
      <w:r>
        <w:rPr>
          <w:rFonts w:ascii="Times New Roman" w:eastAsia="Times New Roman" w:hAnsi="Times New Roman" w:cs="Times New Roman"/>
          <w:sz w:val="24"/>
          <w:szCs w:val="24"/>
        </w:rPr>
        <w:t>оброжелательность, вежливость работников организации социальной сферы»</w:t>
      </w:r>
    </w:p>
    <w:p w14:paraId="093F3C1E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1F6F4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14:paraId="329BE75A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73313" w14:textId="77777777" w:rsidR="00A50F2C" w:rsidRDefault="00B0297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аналогии с сайтом bus.gov.ru - Открытость,  Комфортность, Доступность услуг, Доброжелательность, Удовлетворенность. </w:t>
      </w:r>
    </w:p>
    <w:p w14:paraId="093F2F68" w14:textId="77777777" w:rsidR="00A50F2C" w:rsidRDefault="00A50F2C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A518B" w14:textId="77777777" w:rsidR="00A50F2C" w:rsidRDefault="00B0297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A50F2C" w14:paraId="757E549A" w14:textId="77777777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7142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C905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9CBE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FE0D0" w14:textId="77777777" w:rsidR="00A50F2C" w:rsidRDefault="00A50F2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0767D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A50F2C" w14:paraId="06D7F831" w14:textId="77777777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084D2" w14:textId="77777777" w:rsidR="00A50F2C" w:rsidRDefault="00A50F2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42874" w14:textId="77777777" w:rsidR="00A50F2C" w:rsidRDefault="00A50F2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0E4E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92D3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911B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8844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83F0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6230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B256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5BFB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A50F2C" w14:paraId="4E07C212" w14:textId="77777777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93230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732B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1FAD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1BC5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3171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9C41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588E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266E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37DE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288D1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50F2C" w14:paraId="54BA4EAE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D080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9C61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045A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C080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CECE1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842A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14B5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3560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8A1E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75CA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0F2C" w14:paraId="63AD249F" w14:textId="77777777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9452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E97C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1600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7889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5D5A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1E56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B3FD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D129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00660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15596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0F2C" w14:paraId="7D3BF1E2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2CC65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7EFF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ED10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670C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27890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7EB1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32686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9D9F7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BB92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B515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0F2C" w14:paraId="409176B7" w14:textId="77777777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B5A5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6BE4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FC7C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FC00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7E41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5AAE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B5A3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1673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29F3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4190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0F2C" w14:paraId="021DFA0F" w14:textId="7777777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41B6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C1ED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8624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96,15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EB91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92,19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ED6B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0B30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1E1D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95,71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3144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85,76</w:t>
            </w:r>
          </w:p>
        </w:tc>
      </w:tr>
      <w:tr w:rsidR="00A50F2C" w14:paraId="127AF22F" w14:textId="7777777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EB42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1A6B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6937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3871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2F8F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5F39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FF71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66559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92,06</w:t>
            </w:r>
          </w:p>
        </w:tc>
      </w:tr>
      <w:tr w:rsidR="00A50F2C" w14:paraId="4F9AC4DD" w14:textId="77777777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9A94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0B99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D1F7D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DD061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0E81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9289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78F8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B453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77,80</w:t>
            </w:r>
          </w:p>
        </w:tc>
      </w:tr>
      <w:tr w:rsidR="00A50F2C" w14:paraId="0AA836B0" w14:textId="77777777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F3E8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FB97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B931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72A1B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299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3999C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8FD5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CD730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14,26</w:t>
            </w:r>
          </w:p>
        </w:tc>
      </w:tr>
    </w:tbl>
    <w:p w14:paraId="7246C72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A50F2C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14:paraId="20529BA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14:paraId="1C2B0F6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A5D7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A50F2C" w14:paraId="227953AE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0C53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BD70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2863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E54CD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81976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5874D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48118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A50F2C" w14:paraId="2D22D43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C0B83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"Детский Сад № 4"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572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5BC8C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F10B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2003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045B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EFBE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A50F2C" w14:paraId="1DD089FF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503C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№5"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F889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89,76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70C4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DCA7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D218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D2BC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4B640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A50F2C" w14:paraId="39942F95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ABFD2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7"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DC05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9B14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22C6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D8BBB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686DD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07E8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A50F2C" w14:paraId="407916A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24CBC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№8"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6877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7986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F7047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3361A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F42E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6B8B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A50F2C" w14:paraId="67EBFD7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7CEA8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№9"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FB46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77,80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8EE8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34C6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67DA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E798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838E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A50F2C" w14:paraId="0671AE1D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78842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№12»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33780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85,14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4F61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1292B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5308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3D06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F216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A50F2C" w14:paraId="19CBDE8A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1307A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16"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D9D0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81,94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DCDD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D8E3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58BC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11DC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F264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A50F2C" w14:paraId="604E0BAB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513D3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 17"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6484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90,18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F1E8A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352B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86A3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F2A2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1DFA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A50F2C" w14:paraId="0FB28CB1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27E95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№18"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EDD5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E29D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7479C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3223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432BB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B03E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A50F2C" w14:paraId="42695D4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C23D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№20"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8ACA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4549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D069C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3508A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564A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2F5B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A50F2C" w14:paraId="2242D1D6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C2091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21"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A483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17B9D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005C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9C78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78C8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3F9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A50F2C" w14:paraId="673EE900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8BEF4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22"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28A0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6244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9B92A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15B2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280F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989F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A50F2C" w14:paraId="39542EF1" w14:textId="77777777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D9337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№23"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5AC9A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B611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8A4B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30560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1FD0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3F3FD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</w:tbl>
    <w:p w14:paraId="6D999B1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38E0468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F9739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E590CD1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14:paraId="394DA716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FC5E4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79FEF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F6113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BFA28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8ABDF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64D99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BBA47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60B82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14:paraId="308472A3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14:paraId="642EAD28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6DB5BE7B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9648D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73566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020"/>
      </w:tblGrid>
      <w:tr w:rsidR="00A50F2C" w14:paraId="79DF64AC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69DE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3D99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№8"; МБДОУ "Д/с №9"; МАДОУ "Д/с № 16";</w:t>
            </w:r>
          </w:p>
        </w:tc>
      </w:tr>
      <w:tr w:rsidR="00A50F2C" w14:paraId="51005298" w14:textId="77777777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60D2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25B2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  <w:tr w:rsidR="00A50F2C" w14:paraId="4B5D1E65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604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302B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 №9";</w:t>
            </w:r>
          </w:p>
        </w:tc>
      </w:tr>
      <w:tr w:rsidR="00A50F2C" w14:paraId="7AF3735C" w14:textId="77777777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3EDB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299C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 №9"; МАДОУ "Д/с № 21";</w:t>
            </w:r>
          </w:p>
        </w:tc>
      </w:tr>
      <w:tr w:rsidR="00A50F2C" w14:paraId="6E285DD7" w14:textId="77777777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D967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251C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</w:tbl>
    <w:p w14:paraId="1DA4E86F" w14:textId="77777777" w:rsidR="00A50F2C" w:rsidRDefault="00A50F2C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5BBEB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1B71F27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 инвалидам получать услуги наравне с другими.*</w:t>
      </w:r>
    </w:p>
    <w:p w14:paraId="193313E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578E6A3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CB045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</w:t>
      </w:r>
      <w:r>
        <w:rPr>
          <w:rFonts w:ascii="Times New Roman" w:eastAsia="Times New Roman" w:hAnsi="Times New Roman" w:cs="Times New Roman"/>
          <w:sz w:val="24"/>
          <w:szCs w:val="24"/>
        </w:rPr>
        <w:t>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53121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140"/>
      </w:tblGrid>
      <w:tr w:rsidR="00A50F2C" w14:paraId="48B417FC" w14:textId="77777777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90F9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6C4A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МАДОУ "Д/с № 7"; МБДОУ "Д/с №8"; МБДОУ "Д/с №9"; МБДОУ «Детский Сад №12»; МАДОУ "Д/с № 16"; МБДОУ "Д/с №18"; МАДОУ "Д/с №20";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"Д/с № 21"; МАДОУ "Д/с № 22";</w:t>
            </w:r>
          </w:p>
        </w:tc>
      </w:tr>
      <w:tr w:rsidR="00A50F2C" w14:paraId="46292052" w14:textId="77777777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8F10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40C5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МБДОУ "Д/с №5"; МАДОУ "Д/с № 7"; МБДОУ "Д/с №8"; МБДОУ "Д/с №9"; МБДОУ «Детский Сад №12»; МАДОУ "Д/с № 16"; МБДОУ "Д/с № 17"; МБДОУ "Д/с №18"; МАДОУ "Д/с №20"; МАДОУ "Д/с № 21"; МАДОУ "Д/с № 22";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"Д/с №23";</w:t>
            </w:r>
          </w:p>
        </w:tc>
      </w:tr>
      <w:tr w:rsidR="00A50F2C" w14:paraId="7B36FFD3" w14:textId="77777777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9B9A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47A5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 №8"; МБДОУ "Д/с №9"; МБДОУ «Детский Сад №12»; МАДОУ "Д/с № 16"; МБДОУ "Д/с №18"; МАДОУ "Д/с № 21";</w:t>
            </w:r>
          </w:p>
        </w:tc>
      </w:tr>
      <w:tr w:rsidR="00A50F2C" w14:paraId="49206A5F" w14:textId="77777777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12AC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2E82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МБДОУ "Д/с №5"; МАДОУ "Д/с № 7"; МБДОУ "Д/с №8"; МБДОУ "Д/с №9"; МБДОУ «Детский Сад №12»; МАДОУ "Д/с № 16"; МБДОУ "Д/с № 17"; МБДОУ "Д/с №18"; МАДОУ "Д/с №20"; МАДОУ "Д/с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21"; МАДОУ "Д/с № 22"; МБДОУ "Д/с №23";</w:t>
            </w:r>
          </w:p>
        </w:tc>
      </w:tr>
      <w:tr w:rsidR="00A50F2C" w14:paraId="7C5518EF" w14:textId="77777777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D885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3620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МАДОУ "Д/с № 7"; МБДОУ "Д/с №8"; МБДОУ "Д/с №9"; МБДОУ «Детский Сад №12»;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"Д/с № 16"; МБДОУ "Д/с №18"; МАДОУ "Д/с №20"; МАДОУ "Д/с № 21"; МАДОУ "Д/с № 22"; МБДОУ "Д/с №23";</w:t>
            </w:r>
          </w:p>
        </w:tc>
      </w:tr>
    </w:tbl>
    <w:p w14:paraId="67AA79F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5DD5D" w14:textId="77777777" w:rsidR="00A50F2C" w:rsidRDefault="00B02977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D9EA1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125"/>
      </w:tblGrid>
      <w:tr w:rsidR="00A50F2C" w14:paraId="3199FAE6" w14:textId="77777777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63BC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F85B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МБДОУ "Д/с №5";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АДОУ "Д/с № 7"; МБДОУ "Д/с №8"; МБДОУ "Д/с №9"; МБДОУ «Детский Сад №12»; МАДОУ "Д/с № 16"; МБДОУ "Д/с №18"; МАДОУ "Д/с №20"; МАДОУ "Д/с № 21"; МАДОУ "Д/с № 22"; МБДОУ "Д/с №23";</w:t>
            </w:r>
          </w:p>
        </w:tc>
      </w:tr>
      <w:tr w:rsidR="00A50F2C" w14:paraId="7C279DD3" w14:textId="77777777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B2A9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D9EF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требуется обеспечить условия: МБДОУ "Д/с №5"; МБДОУ "Д/с №8"; МБДОУ "Д/с №9"; МБДОУ «Детский Сад №12»; МАДОУ "Д/с № 16"; МБДОУ "Д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№18";</w:t>
            </w:r>
          </w:p>
        </w:tc>
      </w:tr>
      <w:tr w:rsidR="00A50F2C" w14:paraId="41B75CAD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EA7C8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6E82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"Детский Сад № 4"; МБДОУ "Д/с №5"; МАДОУ "Д/с № 7"; МБДОУ "Д/с №8"; МБДОУ "Д/с №9"; МБДОУ «Детский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 №12»; МАДОУ "Д/с № 16"; МБДОУ "Д/с № 17"; МБДОУ "Д/с №18"; МАДОУ "Д/с №20"; МАДОУ "Д/с № 21"; МАДОУ "Д/с № 22"; МБДОУ "Д/с №23";</w:t>
            </w:r>
          </w:p>
        </w:tc>
      </w:tr>
      <w:tr w:rsidR="00A50F2C" w14:paraId="60046E5D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B1E9B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1FE45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 №8";</w:t>
            </w:r>
          </w:p>
        </w:tc>
      </w:tr>
      <w:tr w:rsidR="00A50F2C" w14:paraId="1C651705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AC2B3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C097F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МБДОУ "Д/с №5"; МАДОУ "Д/с № 7"; МБДОУ "Д/с №8"; МБДОУ «Детский Сад №12»; МАДОУ "Д/с № 16"; МБДОУ "Д/с № 17"; МАДОУ "Д/с № 21"; МБДОУ "Д/с №23";</w:t>
            </w:r>
          </w:p>
        </w:tc>
      </w:tr>
      <w:tr w:rsidR="00A50F2C" w14:paraId="0429934C" w14:textId="77777777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0D20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69E7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условия: МАДОУ "Д/с № 7"; МБДОУ "Д/с №8"; МБДОУ "Д/с №9"; МБДОУ «Детский Сад №12»; МАДОУ "Д/с № 16"; МБДОУ "Д/с №18"; МАДОУ "Д/с № 21";</w:t>
            </w:r>
          </w:p>
        </w:tc>
      </w:tr>
    </w:tbl>
    <w:p w14:paraId="4A04853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6F76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0FD15C3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 РАЗМЕЩЕНИЯ ОБЯЗАТЕЛЬНОЙ ИНФОРМАЦИИ*</w:t>
      </w:r>
    </w:p>
    <w:p w14:paraId="7838A54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302A04B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A50F2C" w14:paraId="42DC46CF" w14:textId="77777777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3ABA2" w14:textId="77777777" w:rsidR="00A50F2C" w:rsidRDefault="00B02977">
            <w:pPr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информации о своей деятельности посредством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официальном сайте образовательной организации в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 от 10.07.2013 № 582 (далее – ПП РФ №582). Требования к структуре официального сайта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 науки от 14 августа 2020 года N 831 "Об утверждении Требований к структуре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14:paraId="17954EB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F8877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3510"/>
      </w:tblGrid>
      <w:tr w:rsidR="00A50F2C" w14:paraId="1B49BBFB" w14:textId="77777777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1855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(при наличии) наименование образовательной организации. Информация о дате создания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4714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E4E719B" w14:textId="77777777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D5F3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A319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6AC1805" w14:textId="77777777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9472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ADF0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7AA3BD7C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23BE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1D13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C76E27B" w14:textId="77777777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9391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F97F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1E454C65" w14:textId="77777777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B888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0DEE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CACC35D" w14:textId="77777777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082C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6D09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AD5400A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F9B7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B94B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72BC0074" w14:textId="77777777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6C0B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CC4F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75F903E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A571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C6F1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79743E1" w14:textId="77777777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D52C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 или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джетные сметы образовательной организации: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E1F6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225E505" w14:textId="77777777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3CE9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8D44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E1F1944" w14:textId="77777777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FB04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A8E3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0F2C" w14:paraId="0A21F379" w14:textId="77777777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9298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A37F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EEFD307" w14:textId="77777777">
        <w:trPr>
          <w:trHeight w:val="10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61C6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D9FF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FD7CBC5" w14:textId="77777777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F81C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22E5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D842204" w14:textId="77777777">
        <w:trPr>
          <w:trHeight w:val="5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0FF3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C834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342CC235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9BF4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C001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64937EF" w14:textId="77777777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3402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0C3E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CB34C65" w14:textId="77777777">
        <w:trPr>
          <w:trHeight w:val="12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3A7B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4D8F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1FED19BC" w14:textId="77777777">
        <w:trPr>
          <w:trHeight w:val="7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6BD6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CAB8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2947840" w14:textId="77777777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103E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FC77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544C369" w14:textId="77777777">
        <w:trPr>
          <w:trHeight w:val="115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5FC6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1BEE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F4F1843" w14:textId="77777777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096EC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BCE1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395D077" w14:textId="77777777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2812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0B11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867FA5E" w14:textId="77777777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B1F4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образовательных программах: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C9E0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AD3C056" w14:textId="77777777">
        <w:trPr>
          <w:trHeight w:val="4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CB0F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E55F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51CE456" w14:textId="77777777">
        <w:trPr>
          <w:trHeight w:val="7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68F8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C809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7E44FCE" w14:textId="77777777">
        <w:trPr>
          <w:trHeight w:val="10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090C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F24D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FCAA5D2" w14:textId="77777777">
        <w:trPr>
          <w:trHeight w:val="42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6383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6D65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19192371" w14:textId="77777777">
        <w:trPr>
          <w:trHeight w:val="10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842A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2DB6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ADD2F29" w14:textId="77777777">
        <w:trPr>
          <w:trHeight w:val="12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1721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организации (при их наличии):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3374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26B54B4" w14:textId="77777777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6F57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47BB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316DE4D5" w14:textId="77777777">
        <w:trPr>
          <w:trHeight w:val="88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D6ED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1BB5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B4FAE5B" w14:textId="77777777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0977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0ADF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3A7EEB00" w14:textId="77777777">
        <w:trPr>
          <w:trHeight w:val="4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0C50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393E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1C1BB4C" w14:textId="77777777">
        <w:trPr>
          <w:trHeight w:val="73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A3B2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C7DC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30149226" w14:textId="77777777">
        <w:trPr>
          <w:trHeight w:val="9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B061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54BA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56CBF5F" w14:textId="77777777">
        <w:trPr>
          <w:trHeight w:val="8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78A0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720A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7F22843" w14:textId="77777777">
        <w:trPr>
          <w:trHeight w:val="14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6806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проживание в общежитии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8773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860F687" w14:textId="77777777">
        <w:trPr>
          <w:trHeight w:val="4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F5D6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(при наличии)*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FABD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ED76705" w14:textId="77777777">
        <w:trPr>
          <w:trHeight w:val="136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E908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наличии и порядке оказания платных образовательных услуг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C668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F75C72F" w14:textId="77777777">
        <w:trPr>
          <w:trHeight w:val="5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81A5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2D5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3252C80" w14:textId="77777777">
        <w:trPr>
          <w:trHeight w:val="79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71D7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2D57E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7F215E8B" w14:textId="77777777">
        <w:trPr>
          <w:trHeight w:val="37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8E95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D7DD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455FD559" w14:textId="77777777">
        <w:trPr>
          <w:trHeight w:val="11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4F89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для использования инвалидами и лицами с ОВЗ: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1FA6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09F06B5" w14:textId="77777777">
        <w:trPr>
          <w:trHeight w:val="112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89D5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7C1B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54B6BA0" w14:textId="77777777">
        <w:trPr>
          <w:trHeight w:val="8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13261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питания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6B14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размещена</w:t>
            </w:r>
          </w:p>
        </w:tc>
      </w:tr>
      <w:tr w:rsidR="00A50F2C" w14:paraId="0C7F7FA9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C9E8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специальных условиях охраны здоровья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9C2B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203FAE37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12B1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E1F9D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835AAF6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B483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DACA9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03BF9E71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C517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F3C7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D9A92A8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DF62B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общежитие, интернат, о количестве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общежитии, интернате, приспособленных для использования инвалидами и лицами с ОВЗ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9B46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5420F5E8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91C90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Заключенные и планируемые к заключению договоры с иностранными и (или) международными организациями по вопросам образования и науки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9788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A50F2C" w14:paraId="6A371CDB" w14:textId="77777777">
        <w:trPr>
          <w:trHeight w:val="6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6A79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аккредитация образовательных программ (при наличии)*: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80B5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14:paraId="5F5AF61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0C0B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14:paraId="150D9122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14:paraId="448593B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812042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BF6E1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</w:t>
      </w:r>
      <w:r>
        <w:rPr>
          <w:rFonts w:ascii="Times New Roman" w:eastAsia="Times New Roman" w:hAnsi="Times New Roman" w:cs="Times New Roman"/>
          <w:sz w:val="24"/>
          <w:szCs w:val="24"/>
        </w:rPr>
        <w:t>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14:paraId="19EEB08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7453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Отмечен высокий уровень доступности взаимодействия с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учателями услуг по телефону, электронной почте. </w:t>
      </w:r>
    </w:p>
    <w:p w14:paraId="4D2854A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58C7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AE210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A2F4D10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14:paraId="33AC431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7295BE5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4D1C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</w:t>
      </w:r>
      <w:r>
        <w:rPr>
          <w:rFonts w:ascii="Times New Roman" w:eastAsia="Times New Roman" w:hAnsi="Times New Roman" w:cs="Times New Roman"/>
          <w:sz w:val="24"/>
          <w:szCs w:val="24"/>
        </w:rPr>
        <w:t>щению на стенде информации:</w:t>
      </w:r>
    </w:p>
    <w:p w14:paraId="34E15B0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A50F2C" w14:paraId="4054390C" w14:textId="77777777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EB067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месте нахождения образовательной организации и ее филиалов (при наличии)</w:t>
            </w:r>
          </w:p>
          <w:p w14:paraId="65723F79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режиме, графике работы</w:t>
            </w:r>
          </w:p>
          <w:p w14:paraId="6AF9FFE9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контактных телефонах и об адресах электронной почты</w:t>
            </w:r>
          </w:p>
          <w:p w14:paraId="13DB909F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структуре и об орга</w:t>
            </w:r>
            <w:r>
              <w:rPr>
                <w:rFonts w:ascii="Times New Roman" w:eastAsia="Times New Roman" w:hAnsi="Times New Roman" w:cs="Times New Roman"/>
              </w:rPr>
              <w:t>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</w:t>
            </w:r>
            <w:r>
              <w:rPr>
                <w:rFonts w:ascii="Times New Roman" w:eastAsia="Times New Roman" w:hAnsi="Times New Roman" w:cs="Times New Roman"/>
              </w:rPr>
              <w:t>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  <w:p w14:paraId="6947EAB7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Лицензии на осуществление образовательной деятельности (с приложениями)</w:t>
            </w:r>
          </w:p>
          <w:p w14:paraId="07046F36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Свидетельства о государственной аккредитации (</w:t>
            </w:r>
            <w:r>
              <w:rPr>
                <w:rFonts w:ascii="Times New Roman" w:eastAsia="Times New Roman" w:hAnsi="Times New Roman" w:cs="Times New Roman"/>
              </w:rPr>
              <w:t>с приложениями)</w:t>
            </w:r>
          </w:p>
          <w:p w14:paraId="502B2057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</w:t>
            </w:r>
            <w:r>
              <w:rPr>
                <w:rFonts w:ascii="Times New Roman" w:eastAsia="Times New Roman" w:hAnsi="Times New Roman" w:cs="Times New Roman"/>
              </w:rPr>
              <w:t xml:space="preserve">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</w:t>
            </w:r>
            <w:r>
              <w:rPr>
                <w:rFonts w:ascii="Times New Roman" w:eastAsia="Times New Roman" w:hAnsi="Times New Roman" w:cs="Times New Roman"/>
              </w:rPr>
              <w:t xml:space="preserve"> родителями (законными представителями) несовершеннолетних обучающихся.</w:t>
            </w:r>
          </w:p>
          <w:p w14:paraId="21848C83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внутреннего распорядка обучающихся, правила внутреннего трудового распорядка и коллективный договор</w:t>
            </w:r>
          </w:p>
          <w:p w14:paraId="750F4E6F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Документ о порядке оказания платных образовательных услуг (при наличии),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  <w:p w14:paraId="6740F826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об учебных планах реализуемых образовательных программ с приложением их копий</w:t>
            </w:r>
          </w:p>
          <w:p w14:paraId="427CC583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</w:t>
            </w:r>
            <w:r>
              <w:rPr>
                <w:rFonts w:ascii="Times New Roman" w:eastAsia="Times New Roman" w:hAnsi="Times New Roman" w:cs="Times New Roman"/>
              </w:rPr>
              <w:t xml:space="preserve">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</w:t>
            </w:r>
            <w:r>
              <w:rPr>
                <w:rFonts w:ascii="Times New Roman" w:eastAsia="Times New Roman" w:hAnsi="Times New Roman" w:cs="Times New Roman"/>
              </w:rPr>
              <w:t>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  <w:p w14:paraId="47B20828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</w:t>
            </w:r>
            <w:r>
              <w:rPr>
                <w:rFonts w:ascii="Times New Roman" w:eastAsia="Times New Roman" w:hAnsi="Times New Roman" w:cs="Times New Roman"/>
              </w:rPr>
              <w:t>местителей; контактные телефоны; адреса электронной почты</w:t>
            </w:r>
          </w:p>
          <w:p w14:paraId="13EFD102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условиях питания обучающихся, в том числе инвалидов и лиц с ограниченными возможностями здоровья</w:t>
            </w:r>
          </w:p>
          <w:p w14:paraId="7231F178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условиях предоставления обучающимся стипендий, мер социальной</w:t>
            </w:r>
            <w:r>
              <w:rPr>
                <w:rFonts w:ascii="Times New Roman" w:eastAsia="Times New Roman" w:hAnsi="Times New Roman" w:cs="Times New Roman"/>
              </w:rPr>
              <w:t xml:space="preserve"> поддержки</w:t>
            </w:r>
          </w:p>
          <w:p w14:paraId="01098E32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наличии и порядке оказания платных образовательных услуг (при наличии)*</w:t>
            </w:r>
          </w:p>
          <w:p w14:paraId="66A0C28B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</w:t>
            </w:r>
            <w:r>
              <w:rPr>
                <w:rFonts w:ascii="Times New Roman" w:eastAsia="Times New Roman" w:hAnsi="Times New Roman" w:cs="Times New Roman"/>
              </w:rPr>
              <w:t>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7A1D4B8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7C03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стендах информация размещена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утвержденным перечнем. </w:t>
      </w:r>
    </w:p>
    <w:p w14:paraId="65C65BD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4118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ED3DE1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14:paraId="50FC87F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14:paraId="02F95778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14:paraId="329D3B4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91FB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14:paraId="7441998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A50F2C" w14:paraId="63733117" w14:textId="77777777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C7E4F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6464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A50F2C" w14:paraId="4F5ED1BA" w14:textId="77777777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F1FA3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D99B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A50F2C" w14:paraId="74CD7A3F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0BB0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35840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A50F2C" w14:paraId="3D85DF5B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7AB6A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7C3F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A50F2C" w14:paraId="0668B63C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66CD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B4D1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0F2C" w14:paraId="7FBAE2C5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3D796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293B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50F2C" w14:paraId="4BF193A0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A9E58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97CB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A50F2C" w14:paraId="0A25932A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94E99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90586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A50F2C" w14:paraId="7CAF6928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B6F8C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33E07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50F2C" w14:paraId="313E50BE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222D5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F369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A50F2C" w14:paraId="13A588A4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C55A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FA0B7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A50F2C" w14:paraId="72BC31F5" w14:textId="77777777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7AE4E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6BF0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</w:tr>
    </w:tbl>
    <w:p w14:paraId="38D574D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0719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426FA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14:paraId="6DC1D2F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A50F2C" w14:paraId="15B191BE" w14:textId="77777777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87A8C" w14:textId="77777777" w:rsidR="00A50F2C" w:rsidRDefault="00B0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214B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89,52%</w:t>
            </w:r>
          </w:p>
        </w:tc>
      </w:tr>
      <w:tr w:rsidR="00A50F2C" w14:paraId="16CE0347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0D0A8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1A46E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93,76%</w:t>
            </w:r>
          </w:p>
        </w:tc>
      </w:tr>
      <w:tr w:rsidR="00A50F2C" w14:paraId="582C799E" w14:textId="77777777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0832C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51AA8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94,74%</w:t>
            </w:r>
          </w:p>
        </w:tc>
      </w:tr>
      <w:tr w:rsidR="00A50F2C" w14:paraId="0241F1FD" w14:textId="77777777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2936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D39D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96,32%</w:t>
            </w:r>
          </w:p>
        </w:tc>
      </w:tr>
      <w:tr w:rsidR="00A50F2C" w14:paraId="390A9E92" w14:textId="77777777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D1F72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C3C85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95,04%</w:t>
            </w:r>
          </w:p>
        </w:tc>
      </w:tr>
      <w:tr w:rsidR="00A50F2C" w14:paraId="7E88EC90" w14:textId="77777777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2223A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7E716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80,32%</w:t>
            </w:r>
          </w:p>
        </w:tc>
      </w:tr>
      <w:tr w:rsidR="00A50F2C" w14:paraId="034E155E" w14:textId="77777777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84BA4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AD22F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94,88%</w:t>
            </w:r>
          </w:p>
        </w:tc>
      </w:tr>
      <w:tr w:rsidR="00A50F2C" w14:paraId="39923808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664C7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517E3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95,52%</w:t>
            </w:r>
          </w:p>
        </w:tc>
      </w:tr>
      <w:tr w:rsidR="00A50F2C" w14:paraId="5E05F6AD" w14:textId="77777777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C5935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718F9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95,68%</w:t>
            </w:r>
          </w:p>
        </w:tc>
      </w:tr>
    </w:tbl>
    <w:p w14:paraId="25D52C2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CB8A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5A82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EDFC763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14:paraId="49F1132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8B87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</w:t>
      </w:r>
    </w:p>
    <w:p w14:paraId="7249FD1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EE3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A50F2C" w14:paraId="797D3E2D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B5DE0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- 13. Среднее значение - 85,76. Максимальное значение (в баллах) - 92,06. Минимальное значение - 77,8.</w:t>
            </w:r>
          </w:p>
        </w:tc>
      </w:tr>
    </w:tbl>
    <w:p w14:paraId="54C7427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D2A9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7C38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45EB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14:paraId="5D72826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25150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14:paraId="2CF62901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995"/>
        <w:gridCol w:w="1065"/>
      </w:tblGrid>
      <w:tr w:rsidR="00A50F2C" w14:paraId="378B69A3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FD504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BE97E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98E78" w14:textId="77777777" w:rsidR="00A50F2C" w:rsidRDefault="00B029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50F2C" w14:paraId="7FAF5C5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05619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3ECA6" w14:textId="77777777" w:rsidR="00A50F2C" w:rsidRDefault="00B02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"Д/с № 22"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A87FA" w14:textId="77777777" w:rsidR="00A50F2C" w:rsidRDefault="00B0297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92,06</w:t>
            </w:r>
          </w:p>
        </w:tc>
      </w:tr>
      <w:tr w:rsidR="00A50F2C" w14:paraId="37ED1EE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612E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002A9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№20"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2BF98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91,82</w:t>
            </w:r>
          </w:p>
        </w:tc>
      </w:tr>
      <w:tr w:rsidR="00A50F2C" w14:paraId="5BC3D60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696D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4E482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№23"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F307C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90,64</w:t>
            </w:r>
          </w:p>
        </w:tc>
      </w:tr>
      <w:tr w:rsidR="00A50F2C" w14:paraId="61A76C7B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74B67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45501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 17"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DF61B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90,18</w:t>
            </w:r>
          </w:p>
        </w:tc>
      </w:tr>
      <w:tr w:rsidR="00A50F2C" w14:paraId="1A4A932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9A27E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BA69E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№5"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3FC7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89,76</w:t>
            </w:r>
          </w:p>
        </w:tc>
      </w:tr>
      <w:tr w:rsidR="00A50F2C" w14:paraId="10854507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BA16C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C81CE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№18"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C7FF2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87,62</w:t>
            </w:r>
          </w:p>
        </w:tc>
      </w:tr>
      <w:tr w:rsidR="00A50F2C" w14:paraId="449BC74C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5D66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F752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F22ED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85,14</w:t>
            </w:r>
          </w:p>
        </w:tc>
      </w:tr>
      <w:tr w:rsidR="00A50F2C" w14:paraId="0F43804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98959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6F3E5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"Детский Сад № 4"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78CDB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84,38</w:t>
            </w:r>
          </w:p>
        </w:tc>
      </w:tr>
      <w:tr w:rsidR="00A50F2C" w14:paraId="7BFFF6EA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D120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8DE59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7"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6CD5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82,96</w:t>
            </w:r>
          </w:p>
        </w:tc>
      </w:tr>
      <w:tr w:rsidR="00A50F2C" w14:paraId="52041ED2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06253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8D29B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16"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476F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81,94</w:t>
            </w:r>
          </w:p>
        </w:tc>
      </w:tr>
      <w:tr w:rsidR="00A50F2C" w14:paraId="3E894DF5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F3044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B493D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"Д/с № 21"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58D45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81,04</w:t>
            </w:r>
          </w:p>
        </w:tc>
      </w:tr>
      <w:tr w:rsidR="00A50F2C" w14:paraId="40C65078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08B31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8B2D0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№8"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0B180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79,52</w:t>
            </w:r>
          </w:p>
        </w:tc>
      </w:tr>
      <w:tr w:rsidR="00A50F2C" w14:paraId="1E1F4CD1" w14:textId="77777777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9E4B0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6E649" w14:textId="77777777" w:rsidR="00A50F2C" w:rsidRDefault="00B0297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"Д/с №9"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D811F" w14:textId="77777777" w:rsidR="00A50F2C" w:rsidRDefault="00B029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77,80</w:t>
            </w:r>
          </w:p>
        </w:tc>
      </w:tr>
    </w:tbl>
    <w:p w14:paraId="31D2BD8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CAD9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14:paraId="6D5C6EB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A50F2C" w14:paraId="4A36003C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156A7" w14:textId="77777777" w:rsidR="00A50F2C" w:rsidRDefault="00B02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- 13. Среднее значение - 85,76. Максимальное значение (в баллах) - 92,06. Минимальное значение - 77,8.</w:t>
            </w:r>
          </w:p>
        </w:tc>
      </w:tr>
    </w:tbl>
    <w:p w14:paraId="14B3E726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75F1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14:paraId="19C8D23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A50F2C" w14:paraId="4CD81527" w14:textId="77777777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5A3C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недостатков можно отнести отсутствие следующих условий: наличие зоны отдыха (ожидания); наличие и доступность питьевой воды; наличие и доступность санитарно-гигиенических помещений; оборудование входных групп пандусами (подъемными платформами); налич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 возможность предоставления услуг в дистанционном режиме или на дому; дублирование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 сурдопереводчика (тифлосурдопереводчика); альтернативной версии сайта организации для инвалидов по зрению;</w:t>
            </w:r>
          </w:p>
        </w:tc>
      </w:tr>
    </w:tbl>
    <w:p w14:paraId="18B0648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DE723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14:paraId="2A68FDDC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FBA17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14:paraId="59F2BDAD" w14:textId="77777777" w:rsidR="00A50F2C" w:rsidRDefault="00A50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36DF6" w14:textId="77777777" w:rsidR="00A50F2C" w:rsidRDefault="00B029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Организациям в индивидуальном порядке разработать и 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14:paraId="117E679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8AA9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обратить внимание и принять меры в отношен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ии следующих показателей независимой оценки качества условий оказания услуг:</w:t>
      </w:r>
    </w:p>
    <w:p w14:paraId="1994B56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4D3E5B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EF3E5" w14:textId="77777777" w:rsidR="00A50F2C" w:rsidRDefault="00A50F2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F981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14:paraId="07DAACF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воды;</w:t>
            </w:r>
          </w:p>
          <w:p w14:paraId="6B29FD7B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Обеспечение в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14:paraId="44EE46A7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упп пандусами (подъемными платформами);</w:t>
            </w:r>
          </w:p>
          <w:p w14:paraId="04194EF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14:paraId="59F6E21F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14:paraId="6F4DA64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нных кресел-колясок;</w:t>
            </w:r>
          </w:p>
          <w:p w14:paraId="10F1355C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14:paraId="1098C13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14:paraId="4F386C8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2A8A7A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возможность предоставления инвалидам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слуху (слуху и зрению) услуг сурдопереводчика (тифлосурдопереводчика);</w:t>
            </w:r>
          </w:p>
          <w:p w14:paraId="5B346A0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14:paraId="50202AD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D177A80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14:paraId="08C373E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E9CC2E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1C12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"Детский Сад № 4"</w:t>
            </w:r>
          </w:p>
        </w:tc>
      </w:tr>
    </w:tbl>
    <w:p w14:paraId="0EEDCC7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EEA7A8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8F1A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- 84,38; Численность обучающихся - 165; Чобщ - 74; Доля респондентов - 0,45; К1 - 93,6; Пинф - 100; Инорм - 55; Инорм - 16; Истенд - 16; Исайт - 55; Пди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 - 100; Тдист - 30; Сдист - 4; Поткруд - 84; Устенд - 62; - 62; К2 - 94,5; Пкомф.усл - 100; Ткомф - 20; Скомф - 5; Укомф - 66; Пкомфуд - 89; К3 - 58,1; Поргдост - 20; Торгдост - 20; Соргдост - 1; Пуслугдост - 80; Туслугдост - 20; Суслугдост - 4; Пдостуд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- 67; Чинв - 3; Удост - 2; К4 - 86,4; Пперв.конт уд - 90; Уперв.конт - 67; Показ.услугуд - 88; Уоказ.услуг - 65; Пвежл.дистуд - 76; Увежл.дист - 56; К5 - 89,3; Преком - 89; Уреком - 66; Уорг.усл - 65; Порг.услуд - 88; Ууд - 67; Пуд - 90; Ууд - 67; Пуд - 90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Сокращения и пояснения приведены на странице 2.</w:t>
            </w:r>
          </w:p>
        </w:tc>
      </w:tr>
    </w:tbl>
    <w:p w14:paraId="646AE94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0BDED9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51685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014FBA4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0C40D1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91CA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нформация о доступе к приспособленным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4BC8EE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7C37E47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1D438D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51F7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4595ADE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063A7B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D654B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"Д/с №5"</w:t>
            </w:r>
          </w:p>
        </w:tc>
      </w:tr>
    </w:tbl>
    <w:p w14:paraId="4A25FD8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DCBFC6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C3362" w14:textId="77777777" w:rsidR="00A50F2C" w:rsidRDefault="00B02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- 89,76; Численность обучающихся - 121; Чобщ - 66; Доля респондентов - 0,55; К1 - 98,8; Пинф - 100; Инорм - 55; Инорм - 16; Истенд - 16; Исайт - 55; Пдист - 100;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Тдист - 30; Сдист - 4; Поткруд - 97; Устенд - 63; - 65; К2 - 97,5; Пкомф.усл - 100; Ткомф - 20; Скомф - 5; Укомф - 63; Пкомфуд - 95; К3 - 58,9; Поргдост - 60; Торгдост - 20; Соргдост - 3; Пуслугдост - 40; Туслугдост - 20; Суслугдост - 2; Пдостуд - 83; Чин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- 6; Удост - 5; К4 - 97,4; Пперв.конт уд - 98; Уперв.конт - 65; Показ.услугуд - 98; Уоказ.услуг - 65; Пвежл.дистуд - 95; Увежл.дист - 63; К5 - 96,2; Преком - 97; Уреком - 64; Уорг.усл - 65; Порг.услуд - 98; Ууд - 63; Пуд - 95; Ууд - 63; Пуд - 95. Сокраще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пояснения приведены на странице 2.</w:t>
            </w:r>
          </w:p>
        </w:tc>
      </w:tr>
    </w:tbl>
    <w:p w14:paraId="45A0134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0900F8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F71D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41B0FC5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254D4E1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CB1C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образовательных программ с приложением их копий: - да; 22. Информация об учебных планах реализуемых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0CDE16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21BA87C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565312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79D9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61A63D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1409EA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58A1F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МАДОУ "Д/с № 7"</w:t>
            </w:r>
          </w:p>
        </w:tc>
      </w:tr>
    </w:tbl>
    <w:p w14:paraId="0712586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DE45A6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595E5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- 82,96; Численность обучающихся - 156; Чобщ - 69; Доля респондентов - 0,44; К1 - 90,8; Пинф - 100; Инорм - 55; Инорм - 16; Истенд - 16; Исайт - 55; Пдист - 100; Тдист - 30; Сдист - 4; Поткруд - 77; Устенд - 61; - 46;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К2 - 92,5; Пкомф.усл - 100; Ткомф - 20; Скомф - 5; Укомф - 59; Пкомфуд - 85; К3 - 52; Поргдост - 20; Торгдост - 20; Соргдост - 1; Пуслугдост - 40; Туслугдост - 20; Суслугдост - 2; Пдостуд - 100; Чинв - 1; Удост - 1; К4 - 88; Пперв.конт уд - 94; Уперв.конт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- 65; Показ.услугуд - 90; Уоказ.услуг - 62; Пвежл.дистуд - 72; Увежл.дист - 50; К5 - 91,5; Преком - 93; Уреком - 64; Уорг.усл - 64; Порг.услуд - 93; Ууд - 62; Пуд - 90; Ууд - 62; Пуд - 90. Сокращения и пояснения приведены на странице 2.</w:t>
            </w:r>
          </w:p>
        </w:tc>
      </w:tr>
    </w:tbl>
    <w:p w14:paraId="4C6D87BF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ADD1EB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D922A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дому - нет.</w:t>
            </w:r>
          </w:p>
        </w:tc>
      </w:tr>
    </w:tbl>
    <w:p w14:paraId="4FEF201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8E2934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E667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749D12A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739AEA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6B4D34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D8FD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221AE56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1FB32B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03FC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МБДОУ "Д/с №8"</w:t>
            </w:r>
          </w:p>
        </w:tc>
      </w:tr>
    </w:tbl>
    <w:p w14:paraId="5CD69CA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2EE210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3C52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- 79,52; Численность обучающихся - 56; Чобщ - 33; Доля респондентов - 0,59; К1 - 94,4; Пинф - 100; Инорм - 55; Инорм - 16; Истенд - 16; Исайт - 55; Пдист - 100;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Тдист - 30; Сдист - 4; Поткруд - 86; Устенд - 31; - 26; К2 - 87; Пкомф.усл - 80; Ткомф - 20; Скомф - 4; Укомф - 31; Пкомфуд - 94; К3 - 30; Поргдост - 0; Торгдост - 20; Соргдост - 0; Пуслугдост - 0; Туслугдост - 20; Суслугдост - 0; Пдостуд - 100; Чинв - 1;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 - 1; К4 - 92,2; Пперв.конт уд - 97; Уперв.конт - 32; Показ.услугуд - 94; Уоказ.услуг - 31; Пвежл.дистуд - 79; Увежл.дист - 26; К5 - 94; Преком - 94; Уреком - 31; Уорг.усл - 31; Порг.услуд - 94; Ууд - 31; Пуд - 94; Ууд - 31; Пуд - 94. Сокращения и поя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снения приведены на странице 2.</w:t>
            </w:r>
          </w:p>
        </w:tc>
      </w:tr>
    </w:tbl>
    <w:p w14:paraId="747629E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834AA0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1DE9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 на дому - нет.</w:t>
            </w:r>
          </w:p>
        </w:tc>
      </w:tr>
    </w:tbl>
    <w:p w14:paraId="576AEB4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33355BC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04FB1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приспособленных для использования инвалидами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да.</w:t>
            </w:r>
          </w:p>
          <w:p w14:paraId="418E17C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636CCD5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079AAF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F27E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6A0C9D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ACFEAD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BACC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"Д/с №9"</w:t>
            </w:r>
          </w:p>
        </w:tc>
      </w:tr>
    </w:tbl>
    <w:p w14:paraId="65711BC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DC64E6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4CF0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Sn - 77,8; Численность обучающихся - 116; Чобщ - 37; Доля респондентов - 0,32; К1 - 95,6; Пинф - 100; Инорм - 55; Инорм - 16; Истенд - 16; Исайт - 55; Пдист - 100;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Тдист - 30; Сдист - 4; Поткруд - 89; Устенд - 34; - 32; К2 - 64,5; Пкомф.усл - 40; Ткомф - 20; Скомф - 2; Укомф - 33; Пкомфуд - 89; К3 - 46; Поргдост - 0; Торгдост - 20; Соргдост - 0; Пуслугдост - 40; Туслугдост - 20; Суслугдост - 2; Пдостуд - 100; Чинв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1; Удост - 1; К4 - 87,4; Пперв.конт уд - 97; Уперв.конт - 36; Показ.услугуд - 92; Уоказ.услуг - 34; Пвежл.дистуд - 59; Увежл.дист - 22; К5 - 95,5; Преком - 92; Уреком - 34; Уорг.усл - 36; Порг.услуд - 97; Ууд - 36; Пуд - 97; Ууд - 36; Пуд - 97. Сокращения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пояснения приведены на странице 2.</w:t>
            </w:r>
          </w:p>
        </w:tc>
      </w:tr>
    </w:tbl>
    <w:p w14:paraId="4BBA949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41E953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44B0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 на дому - нет.</w:t>
            </w:r>
          </w:p>
        </w:tc>
      </w:tr>
    </w:tbl>
    <w:p w14:paraId="244F6B1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2399FC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C6B3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платных образовательных услуг (при наличии): - да; 16. Предписания органов, осуществляющих государственный контроль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(надзор) в сфере образования, отчеты об исполнении таких предписаний (при наличии)*: - да; 17. Информация о реализуемых уровнях образовани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да.</w:t>
            </w:r>
          </w:p>
          <w:p w14:paraId="5E38C06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37B2B0B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E37DC6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325A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оветом.</w:t>
            </w:r>
          </w:p>
        </w:tc>
      </w:tr>
    </w:tbl>
    <w:p w14:paraId="100EE40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02CB63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F02D7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«Детский Сад №12»</w:t>
            </w:r>
          </w:p>
        </w:tc>
      </w:tr>
    </w:tbl>
    <w:p w14:paraId="0E573A1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A656C8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C6397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- 85,14; Численность обучающихся - 61; Чобщ - 30; Доля респондентов - 0,49; К1 - 97,2; Пинф - 100; Инорм - 55; Инорм - 16; Истенд - 16; Исайт - 55; Пдист - 100; Тдист - 30; Сдист - 4; Поткруд - 93; Устенд - 28; - 28;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2 - 98,5; Пкомф.усл - 100; Ткомф - 20; Скомф - 5; Укомф - 29; Пкомфуд - 97; К3 - 38; Поргдост - 0; Торгдост - 20; Соргдост - 0; Пуслугдост - 20; Туслугдост - 20; Суслугдост - 1; Пдостуд - 100; Чинв - 3; Удост - 3; К4 - 97; Пперв.конт уд - 97; Уперв.конт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29; Показ.услугуд - 97; Уоказ.услуг - 29; Пвежл.дистуд - 97; Увежл.дист - 29; К5 - 95; Преком - 97; Уреком - 29; Уорг.усл - 29; Порг.услуд - 97; Ууд - 28; Пуд - 93; Ууд - 28; Пуд - 93. Сокращения и пояснения приведены на странице 2.</w:t>
            </w:r>
          </w:p>
        </w:tc>
      </w:tr>
    </w:tbl>
    <w:p w14:paraId="3001344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51FE61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EB12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23CAB28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21ED35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0E64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8FDF7F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539D855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A03E56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06BC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62852D2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282D079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352D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МАДОУ "Д/с № 16"</w:t>
            </w:r>
          </w:p>
        </w:tc>
      </w:tr>
    </w:tbl>
    <w:p w14:paraId="6289531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08DB8B1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5A9B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- 81,94; Численность обучающихся - 346; Чобщ - 148; Доля респондентов - 0,43; К1 - 95,2; Пинф - 100; Инорм - 55; Инорм - 16; Истенд - 16; Исайт - 55; Пдист - 100; Тдист - 30; Сдист - 4; Поткруд - 88; Устенд - 139; - 12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2; К2 - 87,5; Пкомф.усл - 80; Ткомф - 20; Скомф - 4; Укомф - 141; Пкомфуд - 95; К3 - 38; Поргдост - 0; Торгдост - 20; Соргдост - 0; Пуслугдост - 20; Туслугдост - 20; Суслугдост - 1; Пдостуд - 100; Чинв - 3; Удост - 3; К4 - 91,8; Пперв.конт уд - 98; Уперв.к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 - 145; Показ.услугуд - 96; Уоказ.услуг - 142; Пвежл.дистуд - 71; Увежл.дист - 105; К5 - 97,2; Преком - 96; Уреком - 142; Уорг.усл - 143; Порг.услуд - 97; Ууд - 145; Пуд - 98; Ууд - 145; Пуд - 98. Сокращения и пояснения приведены на странице 2.</w:t>
            </w:r>
          </w:p>
        </w:tc>
      </w:tr>
    </w:tbl>
    <w:p w14:paraId="27F3098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C04ED2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19F31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на дому - нет.</w:t>
            </w:r>
          </w:p>
        </w:tc>
      </w:tr>
    </w:tbl>
    <w:p w14:paraId="140A963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B06B79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058B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стандартах с приложением их копий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</w:t>
            </w:r>
          </w:p>
          <w:p w14:paraId="5AC88E4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2BBF1E5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91C74C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B9F55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73B86AD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317D58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728E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"Д/с № 17"</w:t>
            </w:r>
          </w:p>
        </w:tc>
      </w:tr>
    </w:tbl>
    <w:p w14:paraId="346809D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BF0E36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515C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- 90,18; Численность обучающихся - 257; Чобщ - 138; Доля респондентов - 0,54; К1 - 94; Пинф - 100; Инорм - 55; Инорм - 16; Истенд - 16; Исайт - 55; Пдист - 100; Тдист - 30; Сдист - 4; Поткруд - 85; Устенд - 119; - 116;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К2 - 95; Пкомф.усл - 100; Ткомф - 20; Скомф - 5; Укомф - 124; Пкомфуд - 90; К3 - 72,5; Поргдост - 60; Торгдост - 20; Соргдост - 3; Пуслугдост - 80; Туслугдост - 20; Суслугдост - 4; Пдостуд - 75; Чинв - 3; Удост - 4; К4 - 93,6; Пперв.конт уд - 98; Уперв.ко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нт - 135; Показ.услугуд - 97; Уоказ.услуг - 134; Пвежл.дистуд - 78; Увежл.дист - 108; К5 - 95,8; Преком - 96; Уреком - 132; Уорг.усл - 131; Порг.услуд - 95; Ууд - 132; Пуд - 96; Ууд - 132; Пуд - 96. Сокращения и пояснения приведены на странице 2.</w:t>
            </w:r>
          </w:p>
        </w:tc>
      </w:tr>
    </w:tbl>
    <w:p w14:paraId="634FD97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A431B52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7040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 условий доступности, позволяющих инвалида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ому - да.</w:t>
            </w:r>
          </w:p>
        </w:tc>
      </w:tr>
    </w:tbl>
    <w:p w14:paraId="2B7C064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BF3D5D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8FA47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037649A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РАЗМЕЩЕННОЙ НА СТЕНДЕ ИНФОРМАЦИИ: недостатки не выявлены.</w:t>
            </w:r>
          </w:p>
        </w:tc>
      </w:tr>
    </w:tbl>
    <w:p w14:paraId="046095D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0F5124E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0499F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4CC275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9F5611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EB2F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"Д/с №18"</w:t>
            </w:r>
          </w:p>
        </w:tc>
      </w:tr>
    </w:tbl>
    <w:p w14:paraId="559A664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D984DF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2912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- 87,62; Численность обучающихся - 150; Чобщ - 72; Доля респондентов - 0,48; К1 - 98,4; Пинф - 100; Инорм - 55; Инорм - 16; Истенд - 16; Исайт - 55; Пдист - 100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Тдист - 30; Сдист - 4; Поткруд - 96; Устенд - 71; - 68; К2 - 98,5; Пкомф.усл - 100; Ткомф - 20; Скомф - 5; Укомф - 70; Пкомфуд - 97; К3 - 46; Поргдост - 0; Торгдост - 20; Соргдост - 0; Пуслугдост - 40; Туслугдост - 20; Суслугдост - 2; Пдостуд - 100; Чинв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- 6; Удост - 6; К4 - 96,2; Пперв.конт уд - 97; Уперв.конт - 70; Показ.услугуд - 97;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Уоказ.услуг - 70; Пвежл.дистуд - 93; Увежл.дист - 67; К5 - 99; Преком - 99; Уреком - 71; Уорг.усл - 71; Порг.услуд - 99; Ууд - 71; Пуд - 99; Ууд - 71; Пуд - 99. Сокращения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пояснения приведены на странице 2.</w:t>
            </w:r>
          </w:p>
        </w:tc>
      </w:tr>
    </w:tbl>
    <w:p w14:paraId="16F364FB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8A4BD4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5B4C6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дому - нет.</w:t>
            </w:r>
          </w:p>
        </w:tc>
      </w:tr>
    </w:tbl>
    <w:p w14:paraId="72FD890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AF4923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FD680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A549C1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РАЗМЕЩЕННОЙ НА СТЕНДЕ ИНФОРМАЦИИ: недостатки не выявлены.</w:t>
            </w:r>
          </w:p>
        </w:tc>
      </w:tr>
    </w:tbl>
    <w:p w14:paraId="139A37D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F5FA07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D6104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29C7A3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2EB40A2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90FE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МАДОУ "Д/с №20"</w:t>
            </w:r>
          </w:p>
        </w:tc>
      </w:tr>
    </w:tbl>
    <w:p w14:paraId="4BF64FF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4AE5A659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6696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- 91,82; Численность обучающихся - 210; Чобщ - 155; Доля респондентов - 0,74; К1 - 98; Пинф - 100; Инорм - 55; Инорм - 16; Истенд - 16; Исайт - 55; Пдист - 100; Тдист - 30; Сдист - 4; Поткруд - 95; Устенд - 148; - 147;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К2 - 98,5; Пкомф.усл - 100; Ткомф - 20; Скомф - 5; Укомф - 150; Пкомфуд - 97; К3 - 68; Поргдост - 20; Торгдост - 20; Соргдост - 1; Пуслугдост - 80; Туслугдост - 20; Суслугдост - 4; Пдостуд - 100; Чинв - 2; Удост - 2; К4 - 97,4; Пперв.конт уд - 98; Уперв.к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 - 152; Показ.услугуд - 99; Уоказ.услуг - 153; Пвежл.дистуд - 93; Увежл.дист - 145; К5 - 97,2; Преком - 96; Уреком - 149; Уорг.усл - 151; Порг.услуд - 97; Ууд - 152; Пуд - 98; Ууд - 152; Пуд - 98. Сокращения и пояснения приведены на странице 2.</w:t>
            </w:r>
          </w:p>
        </w:tc>
      </w:tr>
    </w:tbl>
    <w:p w14:paraId="672B84B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BE315E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E446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01CC541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4C5E8DF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335C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са: - да; 26. Информация о реализуемых образовательных программах: - да; 27. Информация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59F3B07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6783A7D3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tbl>
      <w:tblPr>
        <w:tblStyle w:val="aff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26C8DE8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A2A6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030E7EC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A306084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12FB7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МАДОУ "Д/с № 21"</w:t>
            </w:r>
          </w:p>
        </w:tc>
      </w:tr>
    </w:tbl>
    <w:p w14:paraId="6CF37B0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08C1A1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4660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- 81,04; Численность обучающихся - 334; Чобщ - 222; Доля респондентов - 0,66; К1 - 98,4; Пинф - 100; Инорм - 55; Инорм - 16; Истенд - 16; Исайт - 55; Пдист - 1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00; Тдист - 30; Сдист - 4; Поткруд - 96; Устенд - 216; - 209; К2 - 87,5; Пкомф.усл - 80; Ткомф - 20; Скомф - 4; Укомф - 210; Пкомфуд - 95; К3 - 25,9; Поргдост - 0; Торгдост - 20; Соргдост - 0; Пуслугдост - 40; Туслугдост - 20; Суслугдост - 2; Пдостуд - 33;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Чинв - 1; Удост - 3; К4 - 95,4; Пперв.конт уд - 99; Уперв.конт - 219; Показ.услугуд - 98; Уоказ.услуг - 217; Пвежл.дистуд - 83; Увежл.дист - 184; К5 - 98; Преком - 99; Уреком - 220; Уорг.усл - 219; Порг.услуд - 99; Ууд - 215; Пуд - 97; Ууд - 215; Пуд - 97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Сокращения и пояснения приведены на странице 2.</w:t>
            </w:r>
          </w:p>
        </w:tc>
      </w:tr>
    </w:tbl>
    <w:p w14:paraId="09D22A5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D22AC5B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E3B3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алидам получать услуги наравне с другими: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дому - нет.</w:t>
            </w:r>
          </w:p>
        </w:tc>
      </w:tr>
    </w:tbl>
    <w:p w14:paraId="163B172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79C85A1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4ACFA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C9CE34B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14:paraId="1634CD6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959C55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94A0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вносятся и утверждаются Общественным советом.</w:t>
            </w:r>
          </w:p>
        </w:tc>
      </w:tr>
    </w:tbl>
    <w:p w14:paraId="23F34E9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367A5580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A5D4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МАДОУ "Д/с № 22"</w:t>
            </w:r>
          </w:p>
        </w:tc>
      </w:tr>
    </w:tbl>
    <w:p w14:paraId="0E2ED30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07E0B9C5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1E6D1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- 92,06; Численность обучающихся - 242; Чобщ - 110; Доля респондентов - 0,45; К1 - 98,4; Пинф - 100; Инорм - 55; Инорм - 16; Истенд - 16; Исайт - 55; Пдист - 100; Тдист - 30; Сдист - 4; Поткруд - 96; Устенд - 106; - 10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6; К2 - 99; Пкомф.усл - 100; Ткомф - 20; Скомф - 5; Укомф - 108; Пкомфуд - 98; К3 - 68; Поргдост - 20; Торгдост - 20; Соргдост - 1; Пуслугдост - 80; Туслугдост - 20; Суслугдост - 4; Пдостуд - 100; Чинв - 2; Удост - 2; К4 - 97; Пперв.конт уд - 97; Уперв.кон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- 107; Показ.услугуд - 99; Уоказ.услуг - 109; Пвежл.дистуд - 93; Увежл.дист - 102; К5 - 97,9; Преком - 96; Уреком - 106; Уорг.усл - 108; Порг.услуд - 98; Ууд - 109; Пуд - 99; Ууд - 109; Пуд - 99. Сокращения и пояснения приведены на странице 2.</w:t>
            </w:r>
          </w:p>
        </w:tc>
      </w:tr>
    </w:tbl>
    <w:p w14:paraId="534365E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B3DFC6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81BC3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7409D3B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EB8A63A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BDF75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3A886C89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2CCDCC7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5DC636F7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A09C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14:paraId="18377E9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68DE823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F5C8A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МБДОУ "Д/с №23"</w:t>
            </w:r>
          </w:p>
        </w:tc>
      </w:tr>
    </w:tbl>
    <w:p w14:paraId="5D0F3D9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6AF076D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995A8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- 90,64; Численность обучающихся - 112; Чобщ - 58; Доля респондентов - 0,52; К1 - 97,2; Пинф - 100; Инорм - 55; Инорм - 16; Истенд - 16; Исайт - 55; Пдист - 100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Тдист - 30; Сдист - 4; Поткруд - 93; Устенд - 54; - 54; К2 - 98; Пкомф.усл - 100; Ткомф - 20; Скомф - 5; Укомф - 56; Пкомфуд - 96; К3 - 66; Поргдост - 40; Торгдост - 20; Соргдост - 2; Пуслугдост - 60; Туслугдост - 20; Суслугдост - 3; Пдостуд - 100; Чинв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- 2; Удост - 2; К4 - 94,4; Пперв.конт уд - 96; Уперв.конт - 56; Показ.услугуд - 98; Уоказ.услуг - 57; Пвежл.дистуд - 84; Увежл.дист - 49; К5 - 97,6; Преком - 98; Уреком - 57; Уорг.усл - 56; Порг.услуд - 96; Ууд - 57; Пуд - 98; Ууд - 57; Пуд - 98. Сокращени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и пояснения приведены на странице 2.</w:t>
            </w:r>
          </w:p>
        </w:tc>
      </w:tr>
    </w:tbl>
    <w:p w14:paraId="63BCBFA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B78932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2634E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дому - да.</w:t>
            </w:r>
          </w:p>
        </w:tc>
      </w:tr>
    </w:tbl>
    <w:p w14:paraId="0BB24DF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61259BC6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6781D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образовательного процес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14:paraId="401AD9E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АЛИЗ РАЗМЕЩЕННОЙ НА СТЕНДЕ ИНФОРМАЦИИ: недостатки не выявлены.</w:t>
            </w:r>
          </w:p>
        </w:tc>
      </w:tr>
    </w:tbl>
    <w:p w14:paraId="7AD5F19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50F2C" w14:paraId="15AE4C88" w14:textId="7777777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30972" w14:textId="77777777" w:rsidR="00A50F2C" w:rsidRDefault="00B02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характер. Рекомендации вносятся и утверждаются Общественным советом.</w:t>
            </w:r>
          </w:p>
        </w:tc>
      </w:tr>
    </w:tbl>
    <w:p w14:paraId="5ABAC97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CF755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D5F476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1002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3D963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4B9678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C620F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BFCB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4B203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20DEF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716678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8F3A1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B3F16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40B19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EAD30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FAEFBE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029B8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15059F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85898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FA58B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32B09D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24C23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3B744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E969E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911BD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BE5B4D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5661E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F6F30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D5FCA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4B6E5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2D4ABE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D30AB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24F0AD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D6087D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B482ED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B3A42A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1CCCB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E7BCC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425F8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57CFA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C52A8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E65F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9AD9DF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A526B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CBFBA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E80F03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8CEFB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D5D32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11EFC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29A8F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44367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E9E81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7A1B84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7E6A4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FD8A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6E7FEC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25C5E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D26E066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7B97F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8118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969EF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5CBB0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80B55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B9BFB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7FCCC1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82E447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04F5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4BF84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80E3D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B2328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24878E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53CB8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B3D321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B7981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D51A06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83CCF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5BCEA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1437F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B48B6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55960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68BA8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C85A7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4301B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A485D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CAF7F3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AF5ED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D5D7A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BBF56C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709E6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78CEC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A14C1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F1A14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C4986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17741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CA96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8BF6F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D8D2E3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3252A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99179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2A2CA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200031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83964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29AEA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1D728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C0E5F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420A1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8B0A4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E14FB9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60393A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43A34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7DB336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4EFB9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1774A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E3E4F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D4BD7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B74515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6281A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13C858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F99D0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0AE7B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B6767B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01A47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0FB87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25309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2C4AAA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DD488A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D8C99AF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F0AF0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76B0C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6970A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12A74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A74F7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1575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9F56E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D6AB2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709D9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5B241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85607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D1F58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C5A03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9FA20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18277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7AF8F6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1CFD3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42C0E6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31B8A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857E5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34D894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9769C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C248C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6F687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086E0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7214F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9AABA2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5B73B4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69A29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C8FD44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D0461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1DE26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6847C6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A4C76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832B7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2734A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D1C660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583EA1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B79D3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17174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3E5DA6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F7D3A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57F25F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DFC04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E05E4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8E892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2FE36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033982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619AD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7DEF3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4DF06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0CBC2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F9B972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02DC2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C3CED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E289F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D462C3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0DDA0F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75F50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47108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52AB5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850D3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357D4A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72D2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DBA9C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0C054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32C55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BCA5B7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231C6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04615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1852D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2E564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AB08B4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DCFB1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996D5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0436C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B5AB5C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A7BBE1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375D4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01609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E3D38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37BFB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AC35E4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04682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1BF63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C133E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F03CC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C58191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C8A60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957C5B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D0A2E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A06245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8AD5F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364E7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6C8984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E44A7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09BC4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F89C69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9468E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89E61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4D280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061B7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C588C9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16F11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2D11C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10894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6FAEF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p w14:paraId="7798978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F995F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FB1E0B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BC426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4BF19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D7FD99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CC38E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AE9EDF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11C56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CDD11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1DB115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34E0A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39AC99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434D12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4834C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21CD8C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B5567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C3A71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EFC1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4A0887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835D46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23019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019784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1E4E4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AD39B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F8C893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79958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69D72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70943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F3DF8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6D2D8C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D3B7A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39DF61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3B784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825FA9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19CB9C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ECF0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A9C01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3B568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732B8C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C5A5DA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C851B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F3EF9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3A3A7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E2725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B49AF3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D4175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8F50B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17A77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7F474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BDF707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E9C20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C5164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F4812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0C7DF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748D4F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1F64C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69AD4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28B90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50467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7AD4C0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49A25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E5FDF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4C80B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F3993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84ABD6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512F8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99F5D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79D74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43CCC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112D06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D27D9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284F0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6CF5F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25F66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26B95D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5FC4D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109D91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79958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C69107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5A96B3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82E97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43FEFC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99C13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96599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2F88E7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7E282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D7072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39683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5FB6A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5F033F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063CD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598B4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40137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37370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548264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14:paraId="2BF10D8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A062B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F8A1B5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608DA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27CF23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642287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1814C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DE2208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07067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39066F1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5C9DF4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C8680D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09121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A08DF3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68246A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349AB6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4197C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67EBA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C8615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4C7572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6425AA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9D648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268C6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E4FA8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CB05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BB6D91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B34A7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3D25B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DD30A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9F651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EF5B33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EA187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BA010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C7057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28C95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C01FA4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98A89A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D0AD6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99367D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CC2CB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DDCDB2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CD10DA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04FA5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057497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567E2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335C7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36F0C1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2F6D2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47B3DC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FC944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D1B4C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211CEB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35710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D3D9B6A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80201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5C632F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055BE7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78C48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176A9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60377B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3D5EB8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867AE6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9AA56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C7F6D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54BC1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C19EF9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8FC624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5394B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7C12AE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E588E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C1209E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80D110E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54471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38F522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20EBC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1DD4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C92B82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B03FA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606EB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C4096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A9E926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7620EC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DDB61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9E98D9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5A7B3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37057D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DDA71E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1E2D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777C04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DD643F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5B809B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B618B3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2736D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70B3B8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AB8837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956EE2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5FCBCA3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187778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ABFCE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1105C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167190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2A0F80D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CECF0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E87930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7DEAC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A47A95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5FF7900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D1CACA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5DA6C3" w14:textId="77777777" w:rsidR="00A50F2C" w:rsidRDefault="00A50F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D3589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FA52D9" w14:textId="77777777" w:rsidR="00A50F2C" w:rsidRDefault="00B02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2493F4C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0E391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B162E6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2C044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ACA86D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C643E1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26BFE5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9C6DA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27D273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C1486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02EA29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DE0BD2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786AD4" w14:textId="77777777" w:rsidR="00A50F2C" w:rsidRDefault="00A50F2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50F2C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44EB" w14:textId="77777777" w:rsidR="00B02977" w:rsidRDefault="00B02977">
      <w:pPr>
        <w:spacing w:line="240" w:lineRule="auto"/>
      </w:pPr>
      <w:r>
        <w:separator/>
      </w:r>
    </w:p>
  </w:endnote>
  <w:endnote w:type="continuationSeparator" w:id="0">
    <w:p w14:paraId="57A9B771" w14:textId="77777777" w:rsidR="00B02977" w:rsidRDefault="00B02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BAB6" w14:textId="77777777" w:rsidR="00A50F2C" w:rsidRDefault="00A50F2C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14:paraId="361BB507" w14:textId="77777777" w:rsidR="00A50F2C" w:rsidRDefault="00A50F2C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14:paraId="5FFCB05F" w14:textId="77777777" w:rsidR="00A50F2C" w:rsidRDefault="00A50F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22E62" w14:textId="77777777" w:rsidR="00B02977" w:rsidRDefault="00B02977">
      <w:pPr>
        <w:spacing w:line="240" w:lineRule="auto"/>
      </w:pPr>
      <w:r>
        <w:separator/>
      </w:r>
    </w:p>
  </w:footnote>
  <w:footnote w:type="continuationSeparator" w:id="0">
    <w:p w14:paraId="06D3627D" w14:textId="77777777" w:rsidR="00B02977" w:rsidRDefault="00B02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1A3F2" w14:textId="77777777" w:rsidR="00A50F2C" w:rsidRDefault="00B02977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</w:t>
    </w: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 сбора, обобщения и анализа информации о качестве условий оказания услуг организациями </w:t>
    </w:r>
  </w:p>
  <w:p w14:paraId="6A1B40AC" w14:textId="77777777" w:rsidR="00A50F2C" w:rsidRDefault="00A50F2C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56E4"/>
    <w:multiLevelType w:val="multilevel"/>
    <w:tmpl w:val="64628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2C"/>
    <w:rsid w:val="00550D6B"/>
    <w:rsid w:val="00A50F2C"/>
    <w:rsid w:val="00B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937DC"/>
  <w15:docId w15:val="{EC5D4A31-84CC-E149-96E8-83D6382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24993</Words>
  <Characters>142461</Characters>
  <Application>Microsoft Office Word</Application>
  <DocSecurity>0</DocSecurity>
  <Lines>1187</Lines>
  <Paragraphs>334</Paragraphs>
  <ScaleCrop>false</ScaleCrop>
  <Company/>
  <LinksUpToDate>false</LinksUpToDate>
  <CharactersWithSpaces>167120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Диляра Барсукова</cp:lastModifiedBy>
  <cp:revision>2</cp:revision>
  <dcterms:created xsi:type="dcterms:W3CDTF">2021-03-21T10:02:00Z</dcterms:created>
  <dcterms:modified xsi:type="dcterms:W3CDTF">2021-03-21T10:02:00Z</dcterms:modified>
</cp:coreProperties>
</file>